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5305" w14:textId="01F69CB0" w:rsidR="002F7740" w:rsidRPr="004172E8" w:rsidRDefault="004172E8" w:rsidP="004172E8">
      <w:pPr>
        <w:spacing w:after="240"/>
        <w:rPr>
          <w:b/>
          <w:bCs/>
          <w:sz w:val="48"/>
          <w:szCs w:val="48"/>
        </w:rPr>
      </w:pPr>
      <w:r w:rsidRPr="004172E8">
        <w:rPr>
          <w:rFonts w:ascii="Roboto" w:eastAsia="Roboto" w:hAnsi="Roboto" w:cs="Roboto"/>
          <w:b/>
          <w:bCs/>
          <w:noProof/>
          <w:color w:val="FFFFFF" w:themeColor="background1"/>
          <w:sz w:val="48"/>
          <w:szCs w:val="48"/>
        </w:rPr>
        <w:drawing>
          <wp:anchor distT="114300" distB="114300" distL="114300" distR="114300" simplePos="0" relativeHeight="251659264" behindDoc="1" locked="0" layoutInCell="1" hidden="0" allowOverlap="1" wp14:anchorId="6A877CFC" wp14:editId="2EED0798">
            <wp:simplePos x="0" y="0"/>
            <wp:positionH relativeFrom="page">
              <wp:posOffset>12700</wp:posOffset>
            </wp:positionH>
            <wp:positionV relativeFrom="page">
              <wp:posOffset>12700</wp:posOffset>
            </wp:positionV>
            <wp:extent cx="7767638" cy="1456432"/>
            <wp:effectExtent l="0" t="0" r="0" b="0"/>
            <wp:wrapNone/>
            <wp:docPr id="2" name="image1.jpg" descr="A blue and green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blue and green background&#10;&#10;Description automatically generated"/>
                    <pic:cNvPicPr preferRelativeResize="0"/>
                  </pic:nvPicPr>
                  <pic:blipFill>
                    <a:blip r:embed="rId8"/>
                    <a:srcRect t="12499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1456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5FF5E658" w:rsidRPr="004172E8">
        <w:rPr>
          <w:rFonts w:ascii="Aptos" w:eastAsia="Aptos" w:hAnsi="Aptos" w:cs="Aptos"/>
          <w:b/>
          <w:bCs/>
          <w:color w:val="FFFFFF" w:themeColor="background1"/>
          <w:sz w:val="48"/>
          <w:szCs w:val="48"/>
        </w:rPr>
        <w:t>Equity Readiness Checklist</w:t>
      </w:r>
    </w:p>
    <w:p w14:paraId="0C552FCF" w14:textId="77777777" w:rsidR="004172E8" w:rsidRDefault="004172E8" w:rsidP="004172E8">
      <w:pPr>
        <w:rPr>
          <w:color w:val="FFFFFF"/>
          <w:sz w:val="36"/>
          <w:szCs w:val="36"/>
        </w:rPr>
      </w:pPr>
    </w:p>
    <w:p w14:paraId="0D600C01" w14:textId="64AE4335" w:rsidR="004172E8" w:rsidRDefault="004172E8" w:rsidP="004172E8">
      <w:pPr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Instructions</w:t>
      </w:r>
    </w:p>
    <w:p w14:paraId="38B936AA" w14:textId="1D5CE4A7" w:rsidR="004172E8" w:rsidRDefault="004172E8" w:rsidP="004172E8">
      <w:pPr>
        <w:pBdr>
          <w:top w:val="nil"/>
          <w:left w:val="nil"/>
          <w:bottom w:val="nil"/>
          <w:right w:val="nil"/>
          <w:between w:val="nil"/>
        </w:pBdr>
        <w:rPr>
          <w:color w:val="FFFFFF"/>
        </w:rPr>
      </w:pPr>
      <w:r>
        <w:rPr>
          <w:color w:val="FFFFFF"/>
        </w:rPr>
        <w:t xml:space="preserve">Use this checklist to </w:t>
      </w:r>
      <w:r>
        <w:rPr>
          <w:color w:val="FFFFFF"/>
        </w:rPr>
        <w:t>confirm your business’s readiness for taking on an equity investment. For each section, review and check off the criteria your business meets. After completing</w:t>
      </w:r>
      <w:r w:rsidR="002410C4">
        <w:rPr>
          <w:color w:val="FFFFFF"/>
        </w:rPr>
        <w:t xml:space="preserve"> the checklist, determine what percent of criteria your business meets, and review the scoring guide. From there, consider the potential next steps outlined below.</w:t>
      </w:r>
      <w:r>
        <w:rPr>
          <w:color w:val="FFFFFF"/>
        </w:rPr>
        <w:t xml:space="preserve"> </w:t>
      </w:r>
    </w:p>
    <w:p w14:paraId="1CCD87ED" w14:textId="77777777" w:rsidR="004172E8" w:rsidRDefault="004172E8" w:rsidP="29B4CCF2">
      <w:pPr>
        <w:spacing w:before="240" w:after="240"/>
        <w:rPr>
          <w:rFonts w:ascii="Aptos" w:eastAsia="Aptos" w:hAnsi="Aptos" w:cs="Aptos"/>
        </w:rPr>
      </w:pPr>
    </w:p>
    <w:p w14:paraId="1B64AC31" w14:textId="77777777" w:rsidR="002410C4" w:rsidRDefault="002410C4" w:rsidP="29B4CCF2">
      <w:pPr>
        <w:spacing w:before="240" w:after="240"/>
        <w:rPr>
          <w:rFonts w:ascii="Aptos" w:eastAsia="Aptos" w:hAnsi="Aptos" w:cs="Aptos"/>
        </w:rPr>
      </w:pPr>
    </w:p>
    <w:p w14:paraId="405BCD7B" w14:textId="05BC1455" w:rsidR="002F7740" w:rsidRPr="004172E8" w:rsidRDefault="5FF5E658" w:rsidP="29B4CCF2">
      <w:pPr>
        <w:spacing w:before="240" w:after="240"/>
        <w:rPr>
          <w:sz w:val="36"/>
          <w:szCs w:val="36"/>
        </w:rPr>
      </w:pPr>
      <w:r w:rsidRPr="004172E8">
        <w:rPr>
          <w:rFonts w:ascii="Aptos" w:eastAsia="Aptos" w:hAnsi="Aptos" w:cs="Aptos"/>
          <w:sz w:val="36"/>
          <w:szCs w:val="36"/>
        </w:rPr>
        <w:t>Growth Potential (Essential Requirements):</w:t>
      </w:r>
    </w:p>
    <w:p w14:paraId="75C0C88B" w14:textId="5D3A232B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92176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Annual revenue growth rate above 20%</w:t>
      </w:r>
      <w:r>
        <w:rPr>
          <w:noProof/>
        </w:rPr>
        <w:drawing>
          <wp:anchor distT="0" distB="0" distL="114300" distR="114300" simplePos="0" relativeHeight="251661312" behindDoc="1" locked="1" layoutInCell="1" allowOverlap="1" wp14:anchorId="2D7BAB9E" wp14:editId="3FCD8939">
            <wp:simplePos x="0" y="0"/>
            <wp:positionH relativeFrom="column">
              <wp:posOffset>-906780</wp:posOffset>
            </wp:positionH>
            <wp:positionV relativeFrom="page">
              <wp:posOffset>1464945</wp:posOffset>
            </wp:positionV>
            <wp:extent cx="7760970" cy="2258060"/>
            <wp:effectExtent l="0" t="0" r="0" b="2540"/>
            <wp:wrapNone/>
            <wp:docPr id="650206886" name="Picture 2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06886" name="Picture 2" descr="A blue square with white lin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3E410" w14:textId="207266CE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202481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Total addressable market (TAM) over $500M</w:t>
      </w:r>
    </w:p>
    <w:p w14:paraId="4D0680EC" w14:textId="7C9D69B2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63282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Clear path to significant scale</w:t>
      </w:r>
    </w:p>
    <w:p w14:paraId="6960F0DB" w14:textId="2751A379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212722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Projected growth that can deliver 10x+ return to investors</w:t>
      </w:r>
    </w:p>
    <w:p w14:paraId="2D2F886A" w14:textId="77777777" w:rsidR="004172E8" w:rsidRDefault="004172E8" w:rsidP="004172E8">
      <w:pPr>
        <w:pStyle w:val="ListParagraph"/>
        <w:spacing w:after="0"/>
        <w:rPr>
          <w:rFonts w:ascii="Aptos" w:eastAsia="Aptos" w:hAnsi="Aptos" w:cs="Aptos"/>
        </w:rPr>
      </w:pPr>
    </w:p>
    <w:p w14:paraId="70704E10" w14:textId="371CF4C5" w:rsidR="002F7740" w:rsidRPr="004172E8" w:rsidRDefault="5FF5E658" w:rsidP="29B4CCF2">
      <w:pPr>
        <w:spacing w:before="240" w:after="240"/>
        <w:rPr>
          <w:sz w:val="36"/>
          <w:szCs w:val="36"/>
        </w:rPr>
      </w:pPr>
      <w:r w:rsidRPr="004172E8">
        <w:rPr>
          <w:rFonts w:ascii="Aptos" w:eastAsia="Aptos" w:hAnsi="Aptos" w:cs="Aptos"/>
          <w:sz w:val="36"/>
          <w:szCs w:val="36"/>
        </w:rPr>
        <w:t>Competitive Advantage (Key Differentiators):</w:t>
      </w:r>
    </w:p>
    <w:p w14:paraId="74CD18C0" w14:textId="7F5BA859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15699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Unique intellectual property or technology</w:t>
      </w:r>
    </w:p>
    <w:p w14:paraId="352CE5FB" w14:textId="72288CF7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05315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Strong barriers to entry/hard to replicate</w:t>
      </w:r>
    </w:p>
    <w:p w14:paraId="79DAEEC1" w14:textId="3D3553D5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621451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High customer retention rates (&gt;80%)</w:t>
      </w:r>
    </w:p>
    <w:p w14:paraId="12A2A34F" w14:textId="6EA4FAB3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23632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Demonstrated product-market fit</w:t>
      </w:r>
    </w:p>
    <w:p w14:paraId="3ECB02EE" w14:textId="77777777" w:rsidR="004172E8" w:rsidRDefault="004172E8" w:rsidP="004172E8">
      <w:pPr>
        <w:pStyle w:val="ListParagraph"/>
        <w:spacing w:after="0"/>
        <w:rPr>
          <w:rFonts w:ascii="Aptos" w:eastAsia="Aptos" w:hAnsi="Aptos" w:cs="Aptos"/>
        </w:rPr>
      </w:pPr>
    </w:p>
    <w:p w14:paraId="0C376CB1" w14:textId="464967BB" w:rsidR="002F7740" w:rsidRPr="004172E8" w:rsidRDefault="5FF5E658" w:rsidP="29B4CCF2">
      <w:pPr>
        <w:spacing w:before="240" w:after="240"/>
        <w:rPr>
          <w:sz w:val="36"/>
          <w:szCs w:val="36"/>
        </w:rPr>
      </w:pPr>
      <w:r w:rsidRPr="004172E8">
        <w:rPr>
          <w:rFonts w:ascii="Aptos" w:eastAsia="Aptos" w:hAnsi="Aptos" w:cs="Aptos"/>
          <w:sz w:val="36"/>
          <w:szCs w:val="36"/>
        </w:rPr>
        <w:t>Team &amp; Operations (Foundational Elements):</w:t>
      </w:r>
    </w:p>
    <w:p w14:paraId="3F1551E3" w14:textId="58E859D7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59574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Experienced management team</w:t>
      </w:r>
    </w:p>
    <w:p w14:paraId="5635EB8C" w14:textId="3EDEAAD4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61852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Well-documented financials and projections</w:t>
      </w:r>
    </w:p>
    <w:p w14:paraId="7B6AE0AC" w14:textId="05474F96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51209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Scalable systems and processes</w:t>
      </w:r>
    </w:p>
    <w:p w14:paraId="425A1672" w14:textId="6E07DB93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71488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Strong corporate governance</w:t>
      </w:r>
    </w:p>
    <w:p w14:paraId="2FBA20BE" w14:textId="2547255E" w:rsidR="002F7740" w:rsidRPr="004172E8" w:rsidRDefault="5FF5E658" w:rsidP="29B4CCF2">
      <w:pPr>
        <w:spacing w:before="240" w:after="240"/>
        <w:rPr>
          <w:sz w:val="36"/>
          <w:szCs w:val="36"/>
        </w:rPr>
      </w:pPr>
      <w:r w:rsidRPr="004172E8">
        <w:rPr>
          <w:rFonts w:ascii="Aptos" w:eastAsia="Aptos" w:hAnsi="Aptos" w:cs="Aptos"/>
          <w:sz w:val="36"/>
          <w:szCs w:val="36"/>
        </w:rPr>
        <w:lastRenderedPageBreak/>
        <w:t>Exit Potential (Investment Return):</w:t>
      </w:r>
    </w:p>
    <w:p w14:paraId="4FDCDA8C" w14:textId="1AC92B7E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26923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Clear potential exit path within 5-7 years</w:t>
      </w:r>
    </w:p>
    <w:p w14:paraId="6CE95676" w14:textId="60557B2C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91068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Evidence of similar exits in your industry</w:t>
      </w:r>
    </w:p>
    <w:p w14:paraId="4D2939F3" w14:textId="04AB4CD0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30523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Willingness to sell significant ownership (20-40%)</w:t>
      </w:r>
    </w:p>
    <w:p w14:paraId="0924EC94" w14:textId="3E113BB8" w:rsidR="002F7740" w:rsidRPr="004172E8" w:rsidRDefault="004172E8" w:rsidP="004172E8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50350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5FF5E658" w:rsidRPr="004172E8">
        <w:rPr>
          <w:rFonts w:ascii="Aptos" w:eastAsia="Aptos" w:hAnsi="Aptos" w:cs="Aptos"/>
        </w:rPr>
        <w:t>Potential for 10x+ return on investment</w:t>
      </w:r>
    </w:p>
    <w:p w14:paraId="5D092C4E" w14:textId="77777777" w:rsidR="004172E8" w:rsidRDefault="004172E8" w:rsidP="004172E8">
      <w:pPr>
        <w:pStyle w:val="ListParagraph"/>
        <w:spacing w:after="0"/>
        <w:rPr>
          <w:rFonts w:ascii="Aptos" w:eastAsia="Aptos" w:hAnsi="Aptos" w:cs="Aptos"/>
        </w:rPr>
      </w:pPr>
    </w:p>
    <w:p w14:paraId="0D0C462E" w14:textId="639A3508" w:rsidR="002F7740" w:rsidRPr="004172E8" w:rsidRDefault="5FF5E658" w:rsidP="29B4CCF2">
      <w:pPr>
        <w:spacing w:before="240" w:after="240"/>
        <w:rPr>
          <w:sz w:val="36"/>
          <w:szCs w:val="36"/>
        </w:rPr>
      </w:pPr>
      <w:r w:rsidRPr="004172E8">
        <w:rPr>
          <w:rFonts w:ascii="Aptos" w:eastAsia="Aptos" w:hAnsi="Aptos" w:cs="Aptos"/>
          <w:sz w:val="36"/>
          <w:szCs w:val="36"/>
        </w:rPr>
        <w:t xml:space="preserve">Red Flags (Deal Breakers): </w:t>
      </w:r>
    </w:p>
    <w:p w14:paraId="120C9322" w14:textId="54C7DE23" w:rsidR="002F7740" w:rsidRDefault="5FF5E658" w:rsidP="002410C4">
      <w:pPr>
        <w:spacing w:before="240" w:after="240" w:line="276" w:lineRule="auto"/>
      </w:pPr>
      <w:r w:rsidRPr="5DF0907D">
        <w:rPr>
          <w:rFonts w:ascii="Aptos" w:eastAsia="Aptos" w:hAnsi="Aptos" w:cs="Aptos"/>
        </w:rPr>
        <w:t xml:space="preserve">❌ Revenue under $1M with no exceptional growth </w:t>
      </w:r>
    </w:p>
    <w:p w14:paraId="694845F5" w14:textId="2437D3D7" w:rsidR="002F7740" w:rsidRDefault="5FF5E658" w:rsidP="002410C4">
      <w:pPr>
        <w:spacing w:before="240" w:after="240" w:line="276" w:lineRule="auto"/>
      </w:pPr>
      <w:r w:rsidRPr="5DF0907D">
        <w:rPr>
          <w:rFonts w:ascii="Aptos" w:eastAsia="Aptos" w:hAnsi="Aptos" w:cs="Aptos"/>
        </w:rPr>
        <w:t xml:space="preserve">❌ No clear competitive advantage </w:t>
      </w:r>
    </w:p>
    <w:p w14:paraId="1637B583" w14:textId="3E8C5C3F" w:rsidR="002F7740" w:rsidRDefault="5FF5E658" w:rsidP="002410C4">
      <w:pPr>
        <w:spacing w:before="240" w:after="240" w:line="276" w:lineRule="auto"/>
        <w:rPr>
          <w:rFonts w:ascii="Aptos" w:eastAsia="Aptos" w:hAnsi="Aptos" w:cs="Aptos"/>
        </w:rPr>
      </w:pPr>
      <w:r w:rsidRPr="5DF0907D">
        <w:rPr>
          <w:rFonts w:ascii="Aptos" w:eastAsia="Aptos" w:hAnsi="Aptos" w:cs="Aptos"/>
        </w:rPr>
        <w:t xml:space="preserve">❌ Unwillingness to give up control </w:t>
      </w:r>
    </w:p>
    <w:p w14:paraId="3A0938D2" w14:textId="2153667B" w:rsidR="002F7740" w:rsidRDefault="5FF5E658" w:rsidP="002410C4">
      <w:pPr>
        <w:spacing w:before="240" w:after="240" w:line="276" w:lineRule="auto"/>
        <w:rPr>
          <w:rFonts w:ascii="Aptos" w:eastAsia="Aptos" w:hAnsi="Aptos" w:cs="Aptos"/>
        </w:rPr>
      </w:pPr>
      <w:r w:rsidRPr="5DF0907D">
        <w:rPr>
          <w:rFonts w:ascii="Aptos" w:eastAsia="Aptos" w:hAnsi="Aptos" w:cs="Aptos"/>
        </w:rPr>
        <w:t xml:space="preserve">❌ No clear exit strategy </w:t>
      </w:r>
    </w:p>
    <w:p w14:paraId="6D3DB278" w14:textId="336D99A2" w:rsidR="002F7740" w:rsidRDefault="5FF5E658" w:rsidP="002410C4">
      <w:pPr>
        <w:spacing w:before="240" w:after="0" w:line="276" w:lineRule="auto"/>
        <w:rPr>
          <w:rFonts w:ascii="Aptos" w:eastAsia="Aptos" w:hAnsi="Aptos" w:cs="Aptos"/>
        </w:rPr>
      </w:pPr>
      <w:r w:rsidRPr="5DF0907D">
        <w:rPr>
          <w:rFonts w:ascii="Aptos" w:eastAsia="Aptos" w:hAnsi="Aptos" w:cs="Aptos"/>
        </w:rPr>
        <w:t xml:space="preserve">❌ Poor financial records or projections </w:t>
      </w:r>
    </w:p>
    <w:p w14:paraId="545F92F7" w14:textId="0E8F564A" w:rsidR="002F7740" w:rsidRDefault="5FF5E658" w:rsidP="002410C4">
      <w:pPr>
        <w:spacing w:before="240" w:after="0" w:line="276" w:lineRule="auto"/>
        <w:rPr>
          <w:rFonts w:ascii="Aptos" w:eastAsia="Aptos" w:hAnsi="Aptos" w:cs="Aptos"/>
        </w:rPr>
      </w:pPr>
      <w:r w:rsidRPr="5DF0907D">
        <w:rPr>
          <w:rFonts w:ascii="Aptos" w:eastAsia="Aptos" w:hAnsi="Aptos" w:cs="Aptos"/>
        </w:rPr>
        <w:t>❌ Limited market size</w:t>
      </w:r>
    </w:p>
    <w:p w14:paraId="3EAD4C90" w14:textId="77777777" w:rsidR="004172E8" w:rsidRDefault="004172E8" w:rsidP="5DF0907D">
      <w:pPr>
        <w:spacing w:before="240" w:after="240"/>
        <w:rPr>
          <w:rFonts w:ascii="Aptos" w:eastAsia="Aptos" w:hAnsi="Aptos" w:cs="Aptos"/>
        </w:rPr>
      </w:pPr>
    </w:p>
    <w:p w14:paraId="072F4D2D" w14:textId="057B57DA" w:rsidR="002F7740" w:rsidRPr="004172E8" w:rsidRDefault="5FF5E658" w:rsidP="29B4CCF2">
      <w:pPr>
        <w:spacing w:before="240" w:after="240"/>
        <w:rPr>
          <w:sz w:val="36"/>
          <w:szCs w:val="36"/>
        </w:rPr>
      </w:pPr>
      <w:r w:rsidRPr="004172E8">
        <w:rPr>
          <w:rFonts w:ascii="Aptos" w:eastAsia="Aptos" w:hAnsi="Aptos" w:cs="Aptos"/>
          <w:sz w:val="36"/>
          <w:szCs w:val="36"/>
        </w:rPr>
        <w:t>Scoring Guide:</w:t>
      </w:r>
    </w:p>
    <w:p w14:paraId="166D2715" w14:textId="09C2BD79" w:rsidR="002F7740" w:rsidRDefault="5FF5E658" w:rsidP="29B4CCF2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&gt;80%</w:t>
      </w:r>
      <w:r w:rsidR="004172E8">
        <w:rPr>
          <w:rFonts w:ascii="Aptos" w:eastAsia="Aptos" w:hAnsi="Aptos" w:cs="Aptos"/>
        </w:rPr>
        <w:t xml:space="preserve"> of Criteria Met</w:t>
      </w:r>
      <w:r w:rsidRPr="29B4CCF2">
        <w:rPr>
          <w:rFonts w:ascii="Aptos" w:eastAsia="Aptos" w:hAnsi="Aptos" w:cs="Aptos"/>
        </w:rPr>
        <w:t>: High potential for equity financing</w:t>
      </w:r>
    </w:p>
    <w:p w14:paraId="77366898" w14:textId="57E9EB1D" w:rsidR="002F7740" w:rsidRDefault="5FF5E658" w:rsidP="29B4CCF2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60-80%</w:t>
      </w:r>
      <w:r w:rsidR="004172E8">
        <w:rPr>
          <w:rFonts w:ascii="Aptos" w:eastAsia="Aptos" w:hAnsi="Aptos" w:cs="Aptos"/>
        </w:rPr>
        <w:t xml:space="preserve"> of Criteria Met</w:t>
      </w:r>
      <w:r w:rsidRPr="29B4CCF2">
        <w:rPr>
          <w:rFonts w:ascii="Aptos" w:eastAsia="Aptos" w:hAnsi="Aptos" w:cs="Aptos"/>
        </w:rPr>
        <w:t>: Moderate potential - address gaps</w:t>
      </w:r>
    </w:p>
    <w:p w14:paraId="511EFECE" w14:textId="403D2D2B" w:rsidR="002F7740" w:rsidRDefault="5FF5E658" w:rsidP="29B4CCF2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&lt;60%</w:t>
      </w:r>
      <w:r w:rsidR="004172E8">
        <w:rPr>
          <w:rFonts w:ascii="Aptos" w:eastAsia="Aptos" w:hAnsi="Aptos" w:cs="Aptos"/>
        </w:rPr>
        <w:t xml:space="preserve"> of Criteria Met</w:t>
      </w:r>
      <w:r w:rsidRPr="29B4CCF2">
        <w:rPr>
          <w:rFonts w:ascii="Aptos" w:eastAsia="Aptos" w:hAnsi="Aptos" w:cs="Aptos"/>
        </w:rPr>
        <w:t>: Need significant preparation</w:t>
      </w:r>
    </w:p>
    <w:p w14:paraId="6B214DDA" w14:textId="77777777" w:rsidR="004172E8" w:rsidRDefault="004172E8" w:rsidP="004172E8">
      <w:pPr>
        <w:pStyle w:val="ListParagraph"/>
        <w:spacing w:after="0"/>
        <w:rPr>
          <w:rFonts w:ascii="Aptos" w:eastAsia="Aptos" w:hAnsi="Aptos" w:cs="Aptos"/>
        </w:rPr>
      </w:pPr>
    </w:p>
    <w:p w14:paraId="6DD9E46E" w14:textId="695E623B" w:rsidR="002F7740" w:rsidRPr="004172E8" w:rsidRDefault="5FF5E658" w:rsidP="29B4CCF2">
      <w:pPr>
        <w:spacing w:before="240" w:after="240"/>
        <w:rPr>
          <w:sz w:val="36"/>
          <w:szCs w:val="36"/>
        </w:rPr>
      </w:pPr>
      <w:r w:rsidRPr="004172E8">
        <w:rPr>
          <w:rFonts w:ascii="Aptos" w:eastAsia="Aptos" w:hAnsi="Aptos" w:cs="Aptos"/>
          <w:sz w:val="36"/>
          <w:szCs w:val="36"/>
        </w:rPr>
        <w:t>Next Steps If Ready:</w:t>
      </w:r>
    </w:p>
    <w:p w14:paraId="67BABA3A" w14:textId="331A09C9" w:rsidR="002F7740" w:rsidRDefault="5FF5E658" w:rsidP="29B4CCF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Prepare detailed financial projections</w:t>
      </w:r>
    </w:p>
    <w:p w14:paraId="429E05C4" w14:textId="7F33E2B9" w:rsidR="002F7740" w:rsidRDefault="5FF5E658" w:rsidP="29B4CCF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Develop comprehensive pitch deck</w:t>
      </w:r>
    </w:p>
    <w:p w14:paraId="6618B30D" w14:textId="381CD765" w:rsidR="002F7740" w:rsidRDefault="5FF5E658" w:rsidP="29B4CCF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Research potential investors</w:t>
      </w:r>
    </w:p>
    <w:p w14:paraId="2731A976" w14:textId="24E2F979" w:rsidR="002F7740" w:rsidRDefault="5FF5E658" w:rsidP="29B4CCF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Get legal and financial advisors</w:t>
      </w:r>
    </w:p>
    <w:p w14:paraId="2CB476E5" w14:textId="2AC042B3" w:rsidR="002F7740" w:rsidRDefault="5FF5E658" w:rsidP="29B4CCF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Begin networking with target investors</w:t>
      </w:r>
    </w:p>
    <w:p w14:paraId="0B6497C4" w14:textId="0C3BBB92" w:rsidR="002F7740" w:rsidRPr="004172E8" w:rsidRDefault="5FF5E658" w:rsidP="29B4CCF2">
      <w:pPr>
        <w:spacing w:before="240" w:after="240"/>
        <w:rPr>
          <w:sz w:val="36"/>
          <w:szCs w:val="36"/>
        </w:rPr>
      </w:pPr>
      <w:r w:rsidRPr="004172E8">
        <w:rPr>
          <w:rFonts w:ascii="Aptos" w:eastAsia="Aptos" w:hAnsi="Aptos" w:cs="Aptos"/>
          <w:sz w:val="36"/>
          <w:szCs w:val="36"/>
        </w:rPr>
        <w:lastRenderedPageBreak/>
        <w:t>Next Steps If Not Ready:</w:t>
      </w:r>
    </w:p>
    <w:p w14:paraId="0E3DF01D" w14:textId="231EF652" w:rsidR="002F7740" w:rsidRDefault="5FF5E658" w:rsidP="29B4CCF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Focus on addressing key gaps</w:t>
      </w:r>
    </w:p>
    <w:p w14:paraId="617D8DCD" w14:textId="3BEACAC5" w:rsidR="002F7740" w:rsidRDefault="5FF5E658" w:rsidP="29B4CCF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Consider alternative financing options</w:t>
      </w:r>
    </w:p>
    <w:p w14:paraId="6A56B23E" w14:textId="78E2FFFD" w:rsidR="002F7740" w:rsidRDefault="5FF5E658" w:rsidP="29B4CCF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Build track record of growth</w:t>
      </w:r>
    </w:p>
    <w:p w14:paraId="4C6F2730" w14:textId="45FA619D" w:rsidR="002F7740" w:rsidRDefault="5FF5E658" w:rsidP="29B4CCF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Strengthen competitive advantages</w:t>
      </w:r>
    </w:p>
    <w:p w14:paraId="2C2640AF" w14:textId="76AED596" w:rsidR="002F7740" w:rsidRDefault="5FF5E658" w:rsidP="29B4CCF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9B4CCF2">
        <w:rPr>
          <w:rFonts w:ascii="Aptos" w:eastAsia="Aptos" w:hAnsi="Aptos" w:cs="Aptos"/>
        </w:rPr>
        <w:t>Improve financial documentation</w:t>
      </w:r>
    </w:p>
    <w:p w14:paraId="2C078E63" w14:textId="36E725E0" w:rsidR="002F7740" w:rsidRDefault="002F7740"/>
    <w:sectPr w:rsidR="002F7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6966"/>
    <w:multiLevelType w:val="hybridMultilevel"/>
    <w:tmpl w:val="690ED688"/>
    <w:lvl w:ilvl="0" w:tplc="9C5C19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A26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46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8D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08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80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C6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45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34BE"/>
    <w:multiLevelType w:val="hybridMultilevel"/>
    <w:tmpl w:val="A94C705E"/>
    <w:lvl w:ilvl="0" w:tplc="5C72F4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E02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88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8F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6A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A0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68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AF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3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1AFE"/>
    <w:multiLevelType w:val="hybridMultilevel"/>
    <w:tmpl w:val="7CC07088"/>
    <w:lvl w:ilvl="0" w:tplc="7640D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EB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4F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00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EC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C4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06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22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CE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12846"/>
    <w:multiLevelType w:val="hybridMultilevel"/>
    <w:tmpl w:val="77E866B6"/>
    <w:lvl w:ilvl="0" w:tplc="C5C48D02">
      <w:start w:val="1"/>
      <w:numFmt w:val="decimal"/>
      <w:lvlText w:val="%1."/>
      <w:lvlJc w:val="left"/>
      <w:pPr>
        <w:ind w:left="720" w:hanging="360"/>
      </w:pPr>
    </w:lvl>
    <w:lvl w:ilvl="1" w:tplc="268C4DCC">
      <w:start w:val="1"/>
      <w:numFmt w:val="lowerLetter"/>
      <w:lvlText w:val="%2."/>
      <w:lvlJc w:val="left"/>
      <w:pPr>
        <w:ind w:left="1440" w:hanging="360"/>
      </w:pPr>
    </w:lvl>
    <w:lvl w:ilvl="2" w:tplc="1702EA68">
      <w:start w:val="1"/>
      <w:numFmt w:val="lowerRoman"/>
      <w:lvlText w:val="%3."/>
      <w:lvlJc w:val="right"/>
      <w:pPr>
        <w:ind w:left="2160" w:hanging="180"/>
      </w:pPr>
    </w:lvl>
    <w:lvl w:ilvl="3" w:tplc="46A8E7A4">
      <w:start w:val="1"/>
      <w:numFmt w:val="decimal"/>
      <w:lvlText w:val="%4."/>
      <w:lvlJc w:val="left"/>
      <w:pPr>
        <w:ind w:left="2880" w:hanging="360"/>
      </w:pPr>
    </w:lvl>
    <w:lvl w:ilvl="4" w:tplc="404AD078">
      <w:start w:val="1"/>
      <w:numFmt w:val="lowerLetter"/>
      <w:lvlText w:val="%5."/>
      <w:lvlJc w:val="left"/>
      <w:pPr>
        <w:ind w:left="3600" w:hanging="360"/>
      </w:pPr>
    </w:lvl>
    <w:lvl w:ilvl="5" w:tplc="1C86BD82">
      <w:start w:val="1"/>
      <w:numFmt w:val="lowerRoman"/>
      <w:lvlText w:val="%6."/>
      <w:lvlJc w:val="right"/>
      <w:pPr>
        <w:ind w:left="4320" w:hanging="180"/>
      </w:pPr>
    </w:lvl>
    <w:lvl w:ilvl="6" w:tplc="DEAC11D4">
      <w:start w:val="1"/>
      <w:numFmt w:val="decimal"/>
      <w:lvlText w:val="%7."/>
      <w:lvlJc w:val="left"/>
      <w:pPr>
        <w:ind w:left="5040" w:hanging="360"/>
      </w:pPr>
    </w:lvl>
    <w:lvl w:ilvl="7" w:tplc="580A012E">
      <w:start w:val="1"/>
      <w:numFmt w:val="lowerLetter"/>
      <w:lvlText w:val="%8."/>
      <w:lvlJc w:val="left"/>
      <w:pPr>
        <w:ind w:left="5760" w:hanging="360"/>
      </w:pPr>
    </w:lvl>
    <w:lvl w:ilvl="8" w:tplc="C30428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58DB5"/>
    <w:multiLevelType w:val="hybridMultilevel"/>
    <w:tmpl w:val="D1345D4C"/>
    <w:lvl w:ilvl="0" w:tplc="BD701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AA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C5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80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86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8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EA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84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24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09616"/>
    <w:multiLevelType w:val="hybridMultilevel"/>
    <w:tmpl w:val="D332DE7E"/>
    <w:lvl w:ilvl="0" w:tplc="3BF4945A">
      <w:start w:val="1"/>
      <w:numFmt w:val="decimal"/>
      <w:lvlText w:val="%1."/>
      <w:lvlJc w:val="left"/>
      <w:pPr>
        <w:ind w:left="720" w:hanging="360"/>
      </w:pPr>
    </w:lvl>
    <w:lvl w:ilvl="1" w:tplc="C3541D70">
      <w:start w:val="1"/>
      <w:numFmt w:val="lowerLetter"/>
      <w:lvlText w:val="%2."/>
      <w:lvlJc w:val="left"/>
      <w:pPr>
        <w:ind w:left="1440" w:hanging="360"/>
      </w:pPr>
    </w:lvl>
    <w:lvl w:ilvl="2" w:tplc="9316425E">
      <w:start w:val="1"/>
      <w:numFmt w:val="lowerRoman"/>
      <w:lvlText w:val="%3."/>
      <w:lvlJc w:val="right"/>
      <w:pPr>
        <w:ind w:left="2160" w:hanging="180"/>
      </w:pPr>
    </w:lvl>
    <w:lvl w:ilvl="3" w:tplc="7B342100">
      <w:start w:val="1"/>
      <w:numFmt w:val="decimal"/>
      <w:lvlText w:val="%4."/>
      <w:lvlJc w:val="left"/>
      <w:pPr>
        <w:ind w:left="2880" w:hanging="360"/>
      </w:pPr>
    </w:lvl>
    <w:lvl w:ilvl="4" w:tplc="7818C9AA">
      <w:start w:val="1"/>
      <w:numFmt w:val="lowerLetter"/>
      <w:lvlText w:val="%5."/>
      <w:lvlJc w:val="left"/>
      <w:pPr>
        <w:ind w:left="3600" w:hanging="360"/>
      </w:pPr>
    </w:lvl>
    <w:lvl w:ilvl="5" w:tplc="27E83730">
      <w:start w:val="1"/>
      <w:numFmt w:val="lowerRoman"/>
      <w:lvlText w:val="%6."/>
      <w:lvlJc w:val="right"/>
      <w:pPr>
        <w:ind w:left="4320" w:hanging="180"/>
      </w:pPr>
    </w:lvl>
    <w:lvl w:ilvl="6" w:tplc="7BE0AFFA">
      <w:start w:val="1"/>
      <w:numFmt w:val="decimal"/>
      <w:lvlText w:val="%7."/>
      <w:lvlJc w:val="left"/>
      <w:pPr>
        <w:ind w:left="5040" w:hanging="360"/>
      </w:pPr>
    </w:lvl>
    <w:lvl w:ilvl="7" w:tplc="7CA41C5E">
      <w:start w:val="1"/>
      <w:numFmt w:val="lowerLetter"/>
      <w:lvlText w:val="%8."/>
      <w:lvlJc w:val="left"/>
      <w:pPr>
        <w:ind w:left="5760" w:hanging="360"/>
      </w:pPr>
    </w:lvl>
    <w:lvl w:ilvl="8" w:tplc="8884C1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97F7D"/>
    <w:multiLevelType w:val="hybridMultilevel"/>
    <w:tmpl w:val="A49CA24E"/>
    <w:lvl w:ilvl="0" w:tplc="FB84B7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C02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6D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C0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4E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A4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8A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61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CD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8EB9A"/>
    <w:multiLevelType w:val="hybridMultilevel"/>
    <w:tmpl w:val="01766D4C"/>
    <w:lvl w:ilvl="0" w:tplc="8AE4F6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CFC8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A2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D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8B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A1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6B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E8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C4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57466">
    <w:abstractNumId w:val="6"/>
  </w:num>
  <w:num w:numId="2" w16cid:durableId="749274347">
    <w:abstractNumId w:val="5"/>
  </w:num>
  <w:num w:numId="3" w16cid:durableId="508299789">
    <w:abstractNumId w:val="3"/>
  </w:num>
  <w:num w:numId="4" w16cid:durableId="1665206982">
    <w:abstractNumId w:val="4"/>
  </w:num>
  <w:num w:numId="5" w16cid:durableId="1389959796">
    <w:abstractNumId w:val="7"/>
  </w:num>
  <w:num w:numId="6" w16cid:durableId="854463636">
    <w:abstractNumId w:val="1"/>
  </w:num>
  <w:num w:numId="7" w16cid:durableId="57018713">
    <w:abstractNumId w:val="0"/>
  </w:num>
  <w:num w:numId="8" w16cid:durableId="1598098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157052"/>
    <w:rsid w:val="002410C4"/>
    <w:rsid w:val="002F7740"/>
    <w:rsid w:val="004172E8"/>
    <w:rsid w:val="008A03EE"/>
    <w:rsid w:val="29B4CCF2"/>
    <w:rsid w:val="57157052"/>
    <w:rsid w:val="5DF0907D"/>
    <w:rsid w:val="5FF5E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C30B"/>
  <w15:chartTrackingRefBased/>
  <w15:docId w15:val="{32F1DC7A-2B81-46A4-98ED-950896E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9B4C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7E91C39EF5B499751B0661CD21A4E" ma:contentTypeVersion="4" ma:contentTypeDescription="Create a new document." ma:contentTypeScope="" ma:versionID="692d79fc11a9144e36ecc0d174caf2ce">
  <xsd:schema xmlns:xsd="http://www.w3.org/2001/XMLSchema" xmlns:xs="http://www.w3.org/2001/XMLSchema" xmlns:p="http://schemas.microsoft.com/office/2006/metadata/properties" xmlns:ns2="10799513-0051-438b-8717-9f0c4fe6a907" targetNamespace="http://schemas.microsoft.com/office/2006/metadata/properties" ma:root="true" ma:fieldsID="8b647acd8a64dd43c1e92b8b8fa040c0" ns2:_="">
    <xsd:import namespace="10799513-0051-438b-8717-9f0c4fe6a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99513-0051-438b-8717-9f0c4fe6a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A915B-28B4-471E-B65E-82C828ED1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09FC0-7539-457F-9805-9A8716675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99513-0051-438b-8717-9f0c4fe6a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979BC-DC65-41EE-AF41-C10EE77FF1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Rodriguez</dc:creator>
  <cp:keywords/>
  <dc:description/>
  <cp:lastModifiedBy>Benjamin Greenlea</cp:lastModifiedBy>
  <cp:revision>2</cp:revision>
  <dcterms:created xsi:type="dcterms:W3CDTF">2024-12-21T01:16:00Z</dcterms:created>
  <dcterms:modified xsi:type="dcterms:W3CDTF">2025-04-25T16:27:00Z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0x0101005EC7E91C39EF5B499751B0661CD21A4E</vt:lpwstr>
  </property>
</Properties>
</file>